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30E5" w14:textId="5DE8D800" w:rsidR="00B51E68" w:rsidRPr="006C7E5E" w:rsidRDefault="003949FF" w:rsidP="00B51E68">
      <w:pPr>
        <w:rPr>
          <w:b/>
          <w:bCs/>
          <w:sz w:val="24"/>
          <w:szCs w:val="24"/>
        </w:rPr>
      </w:pPr>
      <w:r w:rsidRPr="006C7E5E">
        <w:rPr>
          <w:sz w:val="24"/>
          <w:szCs w:val="24"/>
        </w:rPr>
        <w:t>V Lekarni Brežice si prizadevamo za zagotavljanje kakovostne, varne in strokovne lekarniške obravnave naših uporabnikov. Spremljamo in objavljamo kazalnike kakovosti, ker je to pomemben del sistema vodenja kakovosti, saj omogoča transparenten vpogled v naše delo ter stalno izboljševanje storitev.</w:t>
      </w:r>
      <w:r w:rsidRPr="006C7E5E">
        <w:rPr>
          <w:sz w:val="24"/>
          <w:szCs w:val="24"/>
        </w:rPr>
        <w:br/>
      </w:r>
      <w:r w:rsidRPr="006C7E5E">
        <w:rPr>
          <w:sz w:val="24"/>
          <w:szCs w:val="24"/>
        </w:rPr>
        <w:br/>
        <w:t>Kazalniki kakovosti predstavljajo merljiva orodja, s katerimi vrednotimo učinkovitost, varnost in uspešnost lekarniške dejavnosti ter prepoznavamo priložnosti za nadaljnji razvoj. Njihovo spremljanje je del zakonskih obveznosti in dobre lekarniške prakse, s katerimi zagotavljamo, da storitve potekajo v skladu s strokovnimi standardi in v korist pacienta</w:t>
      </w:r>
      <w:r w:rsidR="000F4A3A" w:rsidRPr="006C7E5E">
        <w:rPr>
          <w:sz w:val="24"/>
          <w:szCs w:val="24"/>
        </w:rPr>
        <w:t>.</w:t>
      </w:r>
      <w:r w:rsidR="006C7E5E">
        <w:rPr>
          <w:sz w:val="24"/>
          <w:szCs w:val="24"/>
        </w:rPr>
        <w:br/>
      </w:r>
      <w:r w:rsidR="006C7E5E">
        <w:rPr>
          <w:sz w:val="24"/>
          <w:szCs w:val="24"/>
        </w:rPr>
        <w:br/>
      </w:r>
      <w:r w:rsidR="00B51E68" w:rsidRPr="006C7E5E">
        <w:rPr>
          <w:b/>
          <w:bCs/>
          <w:sz w:val="24"/>
          <w:szCs w:val="24"/>
        </w:rPr>
        <w:t>V letu 2025 je v našem zavodu magister farmacije izdal povprečno 22.036 receptov, od skupno 264.434 receptov; ob tem smo izvedli 3.070 farmacevtskih intervencij*.</w:t>
      </w:r>
      <w:r w:rsidR="00B51E68" w:rsidRPr="006C7E5E">
        <w:rPr>
          <w:b/>
          <w:bCs/>
          <w:sz w:val="24"/>
          <w:szCs w:val="24"/>
        </w:rPr>
        <w:br/>
        <w:t xml:space="preserve">Imamo štiri magistre farmacije s kompetenco za pregled uporabe zdravil in eno magistro farmacije s kompetenco za izvajanje </w:t>
      </w:r>
      <w:proofErr w:type="spellStart"/>
      <w:r w:rsidR="00B51E68" w:rsidRPr="006C7E5E">
        <w:rPr>
          <w:b/>
          <w:bCs/>
          <w:sz w:val="24"/>
          <w:szCs w:val="24"/>
        </w:rPr>
        <w:t>farmakoterapijskih</w:t>
      </w:r>
      <w:proofErr w:type="spellEnd"/>
      <w:r w:rsidR="00B51E68" w:rsidRPr="006C7E5E">
        <w:rPr>
          <w:b/>
          <w:bCs/>
          <w:sz w:val="24"/>
          <w:szCs w:val="24"/>
        </w:rPr>
        <w:t xml:space="preserve"> pregledov.</w:t>
      </w:r>
      <w:r w:rsidR="00B51E68" w:rsidRPr="006C7E5E">
        <w:rPr>
          <w:b/>
          <w:bCs/>
          <w:sz w:val="24"/>
          <w:szCs w:val="24"/>
        </w:rPr>
        <w:br/>
        <w:t>V istem obdobju smo izdelali 7 osebnih kartic zdravil, 7 posodobitev osebnih kartic zdravil, opravili 14 pregledov uporabe zdravil in 2 kontrolna pregleda uporabe zdravil.</w:t>
      </w:r>
      <w:r w:rsidR="00B51E68" w:rsidRPr="006C7E5E">
        <w:rPr>
          <w:b/>
          <w:bCs/>
          <w:sz w:val="24"/>
          <w:szCs w:val="24"/>
        </w:rPr>
        <w:br/>
        <w:t>Imamo dve magistri farmacije, specialistki.</w:t>
      </w:r>
      <w:r w:rsidR="00B51E68" w:rsidRPr="006C7E5E">
        <w:rPr>
          <w:b/>
          <w:bCs/>
          <w:sz w:val="24"/>
          <w:szCs w:val="24"/>
        </w:rPr>
        <w:br/>
        <w:t>Devet magistrov farmacije je pridobilo dodatna znanja s področja homeopatije.</w:t>
      </w:r>
      <w:r w:rsidR="00B51E68" w:rsidRPr="006C7E5E">
        <w:rPr>
          <w:b/>
          <w:bCs/>
          <w:sz w:val="24"/>
          <w:szCs w:val="24"/>
        </w:rPr>
        <w:br/>
        <w:t>V letu 2025 smo opravili skupno 551 ur izobraževanj.</w:t>
      </w:r>
      <w:r w:rsidR="00B51E68" w:rsidRPr="006C7E5E">
        <w:rPr>
          <w:b/>
          <w:bCs/>
          <w:sz w:val="24"/>
          <w:szCs w:val="24"/>
        </w:rPr>
        <w:br/>
        <w:t xml:space="preserve">Vsa zdravila naročamo izključno preko registriranih </w:t>
      </w:r>
      <w:proofErr w:type="spellStart"/>
      <w:r w:rsidR="00B51E68" w:rsidRPr="006C7E5E">
        <w:rPr>
          <w:b/>
          <w:bCs/>
          <w:sz w:val="24"/>
          <w:szCs w:val="24"/>
        </w:rPr>
        <w:t>veledrogerij</w:t>
      </w:r>
      <w:proofErr w:type="spellEnd"/>
      <w:r w:rsidR="00B51E68" w:rsidRPr="006C7E5E">
        <w:rPr>
          <w:b/>
          <w:bCs/>
          <w:sz w:val="24"/>
          <w:szCs w:val="24"/>
        </w:rPr>
        <w:t>. Vsi medicinski pripomočki, ki so na voljo v naši lekarni, imajo dokazila o skladnosti.</w:t>
      </w:r>
    </w:p>
    <w:p w14:paraId="6C469183" w14:textId="77777777" w:rsidR="00B51E68" w:rsidRDefault="00B51E68" w:rsidP="00B51E68">
      <w:r>
        <w:t xml:space="preserve">* </w:t>
      </w:r>
      <w:r w:rsidRPr="005A5089">
        <w:rPr>
          <w:sz w:val="20"/>
          <w:szCs w:val="20"/>
        </w:rPr>
        <w:t>Po Zakonu o lekarniški dejavnosti je farmacevtska intervencija strokovni poseg nosilca lekarniške dejavnosti (farmacevta) v primeru nepopolnosti, nejasnosti ali napak na predpisanem receptu, ki so lahko administrativne ali strokovne narave in bi lahko povzročile ekonomske ali zdravstvene posledice za uporabnika ali zdravstveni sistem ter niso skladne s temeljnim namenom zdravljenja ali zdravstvenimi pravili.</w:t>
      </w:r>
      <w:r>
        <w:br/>
      </w:r>
    </w:p>
    <w:tbl>
      <w:tblPr>
        <w:tblStyle w:val="Tabelamrea"/>
        <w:tblW w:w="0" w:type="auto"/>
        <w:tblLook w:val="04A0" w:firstRow="1" w:lastRow="0" w:firstColumn="1" w:lastColumn="0" w:noHBand="0" w:noVBand="1"/>
      </w:tblPr>
      <w:tblGrid>
        <w:gridCol w:w="7933"/>
        <w:gridCol w:w="1825"/>
      </w:tblGrid>
      <w:tr w:rsidR="000F4A3A" w14:paraId="2D4A2FBB" w14:textId="77777777" w:rsidTr="000F4A3A">
        <w:tc>
          <w:tcPr>
            <w:tcW w:w="7933" w:type="dxa"/>
          </w:tcPr>
          <w:p w14:paraId="35A41F40" w14:textId="30C269C3" w:rsidR="000F4A3A" w:rsidRDefault="00237C03">
            <w:r>
              <w:t>Število vseh receptov glede na število zaposlenih magistrov farmacije</w:t>
            </w:r>
          </w:p>
        </w:tc>
        <w:tc>
          <w:tcPr>
            <w:tcW w:w="1825" w:type="dxa"/>
          </w:tcPr>
          <w:p w14:paraId="744F9D15" w14:textId="69B6965D" w:rsidR="000F4A3A" w:rsidRDefault="003E62D4" w:rsidP="003E62D4">
            <w:pPr>
              <w:jc w:val="right"/>
            </w:pPr>
            <w:r>
              <w:t>22.036</w:t>
            </w:r>
          </w:p>
        </w:tc>
      </w:tr>
      <w:tr w:rsidR="00237C03" w14:paraId="6F07C3E6" w14:textId="77777777" w:rsidTr="000F4A3A">
        <w:tc>
          <w:tcPr>
            <w:tcW w:w="7933" w:type="dxa"/>
          </w:tcPr>
          <w:p w14:paraId="3AFA6746" w14:textId="7FA708A2" w:rsidR="00237C03" w:rsidRDefault="00237C03">
            <w:r>
              <w:t>Število vseh receptov glede na število priznanih magistrov farmacije</w:t>
            </w:r>
          </w:p>
        </w:tc>
        <w:tc>
          <w:tcPr>
            <w:tcW w:w="1825" w:type="dxa"/>
          </w:tcPr>
          <w:p w14:paraId="3358C198" w14:textId="182C150C" w:rsidR="00237C03" w:rsidRDefault="003E62D4" w:rsidP="003E62D4">
            <w:pPr>
              <w:jc w:val="right"/>
            </w:pPr>
            <w:r>
              <w:t>20.825</w:t>
            </w:r>
          </w:p>
        </w:tc>
      </w:tr>
      <w:tr w:rsidR="003E62D4" w14:paraId="0CA72524" w14:textId="77777777" w:rsidTr="000F4A3A">
        <w:tc>
          <w:tcPr>
            <w:tcW w:w="7933" w:type="dxa"/>
          </w:tcPr>
          <w:p w14:paraId="628B2EA7" w14:textId="6D9CF483" w:rsidR="003E62D4" w:rsidRDefault="003E62D4" w:rsidP="003E62D4">
            <w:r>
              <w:rPr>
                <w:rFonts w:eastAsiaTheme="minorHAnsi"/>
                <w:lang w:eastAsia="en-US"/>
              </w:rPr>
              <w:t>Delež vseh farmacevtskih intervencij glede na število receptov</w:t>
            </w:r>
          </w:p>
        </w:tc>
        <w:tc>
          <w:tcPr>
            <w:tcW w:w="1825" w:type="dxa"/>
          </w:tcPr>
          <w:p w14:paraId="1089AC64" w14:textId="4BA5F29E" w:rsidR="003E62D4" w:rsidRDefault="003E62D4" w:rsidP="003E62D4">
            <w:pPr>
              <w:jc w:val="right"/>
            </w:pPr>
            <w:r>
              <w:t>0,012 oz. 1,2%</w:t>
            </w:r>
          </w:p>
        </w:tc>
      </w:tr>
      <w:tr w:rsidR="003E62D4" w14:paraId="589FBA15" w14:textId="77777777" w:rsidTr="000F4A3A">
        <w:tc>
          <w:tcPr>
            <w:tcW w:w="7933" w:type="dxa"/>
          </w:tcPr>
          <w:p w14:paraId="1215F194" w14:textId="02860240" w:rsidR="003E62D4" w:rsidRDefault="003E62D4" w:rsidP="003E62D4">
            <w:r>
              <w:t>Število vseh receptov glede na število zaposlenih magistrov farmacije primerjalno glede na sprejete standarde in normative</w:t>
            </w:r>
          </w:p>
        </w:tc>
        <w:tc>
          <w:tcPr>
            <w:tcW w:w="1825" w:type="dxa"/>
          </w:tcPr>
          <w:p w14:paraId="6EE169AB" w14:textId="7F6C674B" w:rsidR="003E62D4" w:rsidRDefault="003E62D4" w:rsidP="003E62D4">
            <w:pPr>
              <w:jc w:val="right"/>
            </w:pPr>
            <w:r>
              <w:t xml:space="preserve">22.036/13.500 oz. 1,6 </w:t>
            </w:r>
          </w:p>
        </w:tc>
      </w:tr>
      <w:tr w:rsidR="003E62D4" w14:paraId="6A6D59B2" w14:textId="77777777" w:rsidTr="000F4A3A">
        <w:tc>
          <w:tcPr>
            <w:tcW w:w="7933" w:type="dxa"/>
          </w:tcPr>
          <w:p w14:paraId="02B2A64D" w14:textId="37851C64" w:rsidR="003E62D4" w:rsidRDefault="003E62D4" w:rsidP="003E62D4">
            <w:r>
              <w:t>Število magistrov farmacije s kompetenco za PUZ glede na število zaposlenih magistrov farmacije</w:t>
            </w:r>
          </w:p>
        </w:tc>
        <w:tc>
          <w:tcPr>
            <w:tcW w:w="1825" w:type="dxa"/>
          </w:tcPr>
          <w:p w14:paraId="5FDC1750" w14:textId="77777777" w:rsidR="003E62D4" w:rsidRDefault="003E62D4" w:rsidP="003E62D4">
            <w:pPr>
              <w:jc w:val="right"/>
            </w:pPr>
          </w:p>
          <w:p w14:paraId="1AA29651" w14:textId="5BE44947" w:rsidR="003E62D4" w:rsidRDefault="003E62D4" w:rsidP="003E62D4">
            <w:pPr>
              <w:jc w:val="right"/>
            </w:pPr>
            <w:r>
              <w:t>0,33</w:t>
            </w:r>
          </w:p>
        </w:tc>
      </w:tr>
      <w:tr w:rsidR="003E62D4" w14:paraId="348E6586" w14:textId="77777777" w:rsidTr="000F4A3A">
        <w:tc>
          <w:tcPr>
            <w:tcW w:w="7933" w:type="dxa"/>
          </w:tcPr>
          <w:p w14:paraId="00170252" w14:textId="5D8943BF" w:rsidR="003E62D4" w:rsidRDefault="003E62D4" w:rsidP="003E62D4">
            <w:r>
              <w:t>Število magistrov farmacije s kompetenco za FTP glede na število zaposlenih magistrov farmacije</w:t>
            </w:r>
          </w:p>
        </w:tc>
        <w:tc>
          <w:tcPr>
            <w:tcW w:w="1825" w:type="dxa"/>
          </w:tcPr>
          <w:p w14:paraId="0DC0B28C" w14:textId="24E65FD5" w:rsidR="003E62D4" w:rsidRDefault="003E62D4" w:rsidP="003E62D4">
            <w:pPr>
              <w:jc w:val="right"/>
            </w:pPr>
            <w:r>
              <w:t>0,08</w:t>
            </w:r>
          </w:p>
        </w:tc>
      </w:tr>
      <w:tr w:rsidR="003E62D4" w14:paraId="0DA0A9EB" w14:textId="77777777" w:rsidTr="000F4A3A">
        <w:tc>
          <w:tcPr>
            <w:tcW w:w="7933" w:type="dxa"/>
          </w:tcPr>
          <w:p w14:paraId="6D436A45" w14:textId="4834E03B" w:rsidR="003E62D4" w:rsidRDefault="003E62D4" w:rsidP="003E62D4">
            <w:r>
              <w:t>Število izdelanih posodobitev OKZ glede na število zaposlenih magistrov farmacije</w:t>
            </w:r>
          </w:p>
        </w:tc>
        <w:tc>
          <w:tcPr>
            <w:tcW w:w="1825" w:type="dxa"/>
          </w:tcPr>
          <w:p w14:paraId="4E50D24D" w14:textId="5646C024" w:rsidR="003E62D4" w:rsidRDefault="003E62D4" w:rsidP="003E62D4">
            <w:pPr>
              <w:jc w:val="right"/>
            </w:pPr>
            <w:r>
              <w:t>0,58</w:t>
            </w:r>
          </w:p>
        </w:tc>
      </w:tr>
      <w:tr w:rsidR="003E62D4" w14:paraId="7048D8A2" w14:textId="77777777" w:rsidTr="000F4A3A">
        <w:tc>
          <w:tcPr>
            <w:tcW w:w="7933" w:type="dxa"/>
          </w:tcPr>
          <w:p w14:paraId="0EC8A90C" w14:textId="346A15FA" w:rsidR="003E62D4" w:rsidRDefault="003E62D4" w:rsidP="003E62D4">
            <w:r>
              <w:t>Število opravljenih storitev PUZ na magistra farmacije s kompetenco za izvajanje PUZ</w:t>
            </w:r>
          </w:p>
        </w:tc>
        <w:tc>
          <w:tcPr>
            <w:tcW w:w="1825" w:type="dxa"/>
          </w:tcPr>
          <w:p w14:paraId="4309F6AB" w14:textId="4399B978" w:rsidR="003E62D4" w:rsidRDefault="003E62D4" w:rsidP="003E62D4">
            <w:pPr>
              <w:jc w:val="right"/>
            </w:pPr>
            <w:r>
              <w:t>3,5</w:t>
            </w:r>
          </w:p>
        </w:tc>
      </w:tr>
      <w:tr w:rsidR="003E62D4" w14:paraId="5AE99655" w14:textId="77777777" w:rsidTr="000F4A3A">
        <w:tc>
          <w:tcPr>
            <w:tcW w:w="7933" w:type="dxa"/>
          </w:tcPr>
          <w:p w14:paraId="715FAD65" w14:textId="5A995975" w:rsidR="003E62D4" w:rsidRDefault="003E62D4" w:rsidP="003E62D4">
            <w:r>
              <w:t>Število opravljenih storitev kontrolni PUZ na magistra farmacije s kompetenco za izvajanje storitve PUZ</w:t>
            </w:r>
          </w:p>
        </w:tc>
        <w:tc>
          <w:tcPr>
            <w:tcW w:w="1825" w:type="dxa"/>
          </w:tcPr>
          <w:p w14:paraId="0C4C61E5" w14:textId="77777777" w:rsidR="003E62D4" w:rsidRDefault="003E62D4" w:rsidP="003E62D4">
            <w:pPr>
              <w:jc w:val="right"/>
            </w:pPr>
          </w:p>
          <w:p w14:paraId="7E8BF958" w14:textId="19772ED5" w:rsidR="003E62D4" w:rsidRDefault="003E62D4" w:rsidP="003E62D4">
            <w:pPr>
              <w:jc w:val="right"/>
            </w:pPr>
            <w:r>
              <w:t>0,5</w:t>
            </w:r>
          </w:p>
        </w:tc>
      </w:tr>
      <w:tr w:rsidR="003E62D4" w14:paraId="466ABB0A" w14:textId="77777777" w:rsidTr="000F4A3A">
        <w:tc>
          <w:tcPr>
            <w:tcW w:w="7933" w:type="dxa"/>
          </w:tcPr>
          <w:p w14:paraId="2C06D861" w14:textId="6B23A5AD" w:rsidR="003E62D4" w:rsidRDefault="003E62D4" w:rsidP="003E62D4">
            <w:r>
              <w:t>Število magistrov farmacije specialistov glede na število vseh zaposlenih magistrov farmacije</w:t>
            </w:r>
          </w:p>
        </w:tc>
        <w:tc>
          <w:tcPr>
            <w:tcW w:w="1825" w:type="dxa"/>
          </w:tcPr>
          <w:p w14:paraId="62A9D4CC" w14:textId="77777777" w:rsidR="003E62D4" w:rsidRDefault="003E62D4" w:rsidP="003E62D4">
            <w:pPr>
              <w:jc w:val="right"/>
            </w:pPr>
          </w:p>
          <w:p w14:paraId="1DA7B8D6" w14:textId="0BA7A585" w:rsidR="003E62D4" w:rsidRDefault="003E62D4" w:rsidP="003E62D4">
            <w:pPr>
              <w:jc w:val="right"/>
            </w:pPr>
            <w:r>
              <w:t>0,08</w:t>
            </w:r>
          </w:p>
        </w:tc>
      </w:tr>
    </w:tbl>
    <w:p w14:paraId="45C7A0AB" w14:textId="77777777" w:rsidR="005A5089" w:rsidRDefault="005A5089" w:rsidP="00516F13"/>
    <w:sectPr w:rsidR="005A5089" w:rsidSect="000E0964">
      <w:headerReference w:type="default" r:id="rId6"/>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C2C7" w14:textId="77777777" w:rsidR="004E41F1" w:rsidRDefault="004E41F1" w:rsidP="000E0964">
      <w:pPr>
        <w:spacing w:after="0" w:line="240" w:lineRule="auto"/>
      </w:pPr>
      <w:r>
        <w:separator/>
      </w:r>
    </w:p>
  </w:endnote>
  <w:endnote w:type="continuationSeparator" w:id="0">
    <w:p w14:paraId="63DC79E3" w14:textId="77777777" w:rsidR="004E41F1" w:rsidRDefault="004E41F1" w:rsidP="000E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5F3E" w14:textId="77777777" w:rsidR="004E41F1" w:rsidRDefault="004E41F1" w:rsidP="000E0964">
      <w:pPr>
        <w:spacing w:after="0" w:line="240" w:lineRule="auto"/>
      </w:pPr>
      <w:r>
        <w:separator/>
      </w:r>
    </w:p>
  </w:footnote>
  <w:footnote w:type="continuationSeparator" w:id="0">
    <w:p w14:paraId="37A0D563" w14:textId="77777777" w:rsidR="004E41F1" w:rsidRDefault="004E41F1" w:rsidP="000E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00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54"/>
      <w:gridCol w:w="7415"/>
      <w:gridCol w:w="1271"/>
    </w:tblGrid>
    <w:tr w:rsidR="000E0964" w:rsidRPr="007C6AA6" w14:paraId="686C8DC3" w14:textId="77777777" w:rsidTr="00F9207A">
      <w:trPr>
        <w:trHeight w:val="1231"/>
      </w:trPr>
      <w:tc>
        <w:tcPr>
          <w:tcW w:w="1354" w:type="dxa"/>
          <w:vAlign w:val="center"/>
        </w:tcPr>
        <w:p w14:paraId="2E7AA918" w14:textId="1FD06484" w:rsidR="000E0964" w:rsidRPr="007C6AA6" w:rsidRDefault="000E0964" w:rsidP="000E0964">
          <w:pPr>
            <w:tabs>
              <w:tab w:val="center" w:pos="4536"/>
              <w:tab w:val="right" w:pos="9072"/>
            </w:tabs>
            <w:jc w:val="center"/>
          </w:pPr>
        </w:p>
      </w:tc>
      <w:tc>
        <w:tcPr>
          <w:tcW w:w="7415" w:type="dxa"/>
          <w:vAlign w:val="center"/>
        </w:tcPr>
        <w:p w14:paraId="32B5C294" w14:textId="77777777" w:rsidR="000E0964" w:rsidRPr="007C6AA6" w:rsidRDefault="000E0964" w:rsidP="00F9207A">
          <w:pPr>
            <w:tabs>
              <w:tab w:val="center" w:pos="4536"/>
              <w:tab w:val="right" w:pos="9072"/>
            </w:tabs>
            <w:ind w:left="-108"/>
            <w:jc w:val="center"/>
          </w:pPr>
          <w:r w:rsidRPr="007C6AA6">
            <w:rPr>
              <w:noProof/>
            </w:rPr>
            <w:drawing>
              <wp:inline distT="0" distB="0" distL="0" distR="0" wp14:anchorId="3E7D42EC" wp14:editId="667D2522">
                <wp:extent cx="1428750" cy="733425"/>
                <wp:effectExtent l="0" t="0" r="0" b="9525"/>
                <wp:docPr id="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KARNA_BREICE.jpg"/>
                        <pic:cNvPicPr/>
                      </pic:nvPicPr>
                      <pic:blipFill>
                        <a:blip r:embed="rId1">
                          <a:extLst>
                            <a:ext uri="{28A0092B-C50C-407E-A947-70E740481C1C}">
                              <a14:useLocalDpi xmlns:a14="http://schemas.microsoft.com/office/drawing/2010/main" val="0"/>
                            </a:ext>
                          </a:extLst>
                        </a:blip>
                        <a:stretch>
                          <a:fillRect/>
                        </a:stretch>
                      </pic:blipFill>
                      <pic:spPr>
                        <a:xfrm>
                          <a:off x="0" y="0"/>
                          <a:ext cx="1428750" cy="733425"/>
                        </a:xfrm>
                        <a:prstGeom prst="rect">
                          <a:avLst/>
                        </a:prstGeom>
                      </pic:spPr>
                    </pic:pic>
                  </a:graphicData>
                </a:graphic>
              </wp:inline>
            </w:drawing>
          </w:r>
        </w:p>
      </w:tc>
      <w:tc>
        <w:tcPr>
          <w:tcW w:w="1271" w:type="dxa"/>
          <w:vAlign w:val="center"/>
        </w:tcPr>
        <w:p w14:paraId="01F67ED6" w14:textId="43087D93" w:rsidR="000E0964" w:rsidRPr="007C6AA6" w:rsidRDefault="000E0964" w:rsidP="00F9207A">
          <w:pPr>
            <w:tabs>
              <w:tab w:val="center" w:pos="4536"/>
              <w:tab w:val="right" w:pos="9072"/>
            </w:tabs>
            <w:ind w:left="-108"/>
            <w:jc w:val="center"/>
          </w:pPr>
        </w:p>
      </w:tc>
    </w:tr>
    <w:tr w:rsidR="000E0964" w:rsidRPr="007C6AA6" w14:paraId="11F85B22" w14:textId="77777777" w:rsidTr="00F9207A">
      <w:trPr>
        <w:trHeight w:val="403"/>
      </w:trPr>
      <w:tc>
        <w:tcPr>
          <w:tcW w:w="10040" w:type="dxa"/>
          <w:gridSpan w:val="3"/>
          <w:vAlign w:val="center"/>
        </w:tcPr>
        <w:p w14:paraId="2787709F" w14:textId="5B037466" w:rsidR="000E0964" w:rsidRPr="007C6AA6" w:rsidRDefault="003949FF" w:rsidP="00F9207A">
          <w:pPr>
            <w:tabs>
              <w:tab w:val="center" w:pos="4536"/>
              <w:tab w:val="right" w:pos="9072"/>
            </w:tabs>
            <w:jc w:val="center"/>
          </w:pPr>
          <w:r>
            <w:t>Kazalniki kakovosti 202</w:t>
          </w:r>
          <w:r w:rsidR="009E5138">
            <w:t>5</w:t>
          </w:r>
          <w:r>
            <w:t xml:space="preserve"> </w:t>
          </w:r>
        </w:p>
      </w:tc>
    </w:tr>
  </w:tbl>
  <w:p w14:paraId="7FCCD2E2" w14:textId="77777777" w:rsidR="000E0964" w:rsidRDefault="000E0964" w:rsidP="00027CB4">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F"/>
    <w:rsid w:val="00027CB4"/>
    <w:rsid w:val="000E0964"/>
    <w:rsid w:val="000F4A3A"/>
    <w:rsid w:val="00101CA8"/>
    <w:rsid w:val="00101DF2"/>
    <w:rsid w:val="00237C03"/>
    <w:rsid w:val="00255DDA"/>
    <w:rsid w:val="002A0169"/>
    <w:rsid w:val="0037205F"/>
    <w:rsid w:val="003949FF"/>
    <w:rsid w:val="003E62D4"/>
    <w:rsid w:val="004B26F7"/>
    <w:rsid w:val="004E41F1"/>
    <w:rsid w:val="00516F13"/>
    <w:rsid w:val="00523212"/>
    <w:rsid w:val="00543CE9"/>
    <w:rsid w:val="00567494"/>
    <w:rsid w:val="00583E1B"/>
    <w:rsid w:val="005A5089"/>
    <w:rsid w:val="005D2D4C"/>
    <w:rsid w:val="005F1675"/>
    <w:rsid w:val="006457BA"/>
    <w:rsid w:val="006C7E5E"/>
    <w:rsid w:val="00720AD6"/>
    <w:rsid w:val="00803F52"/>
    <w:rsid w:val="00886941"/>
    <w:rsid w:val="008A093B"/>
    <w:rsid w:val="008C6C03"/>
    <w:rsid w:val="009569BD"/>
    <w:rsid w:val="009B71FB"/>
    <w:rsid w:val="009E5138"/>
    <w:rsid w:val="00A37CD8"/>
    <w:rsid w:val="00A655E8"/>
    <w:rsid w:val="00AC34E4"/>
    <w:rsid w:val="00B2367D"/>
    <w:rsid w:val="00B32278"/>
    <w:rsid w:val="00B51E68"/>
    <w:rsid w:val="00B90A58"/>
    <w:rsid w:val="00CB0D96"/>
    <w:rsid w:val="00D139F4"/>
    <w:rsid w:val="00D15B0C"/>
    <w:rsid w:val="00D62423"/>
    <w:rsid w:val="00DB1768"/>
    <w:rsid w:val="00EA79AA"/>
    <w:rsid w:val="00F666D1"/>
    <w:rsid w:val="00F74A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4F6EF"/>
  <w15:docId w15:val="{79F0A398-A2A1-4600-BDEA-71D6EA46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016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E0964"/>
    <w:pPr>
      <w:tabs>
        <w:tab w:val="center" w:pos="4536"/>
        <w:tab w:val="right" w:pos="9072"/>
      </w:tabs>
      <w:spacing w:after="0" w:line="240" w:lineRule="auto"/>
    </w:pPr>
  </w:style>
  <w:style w:type="character" w:customStyle="1" w:styleId="GlavaZnak">
    <w:name w:val="Glava Znak"/>
    <w:basedOn w:val="Privzetapisavaodstavka"/>
    <w:link w:val="Glava"/>
    <w:uiPriority w:val="99"/>
    <w:rsid w:val="000E0964"/>
  </w:style>
  <w:style w:type="paragraph" w:styleId="Noga">
    <w:name w:val="footer"/>
    <w:basedOn w:val="Navaden"/>
    <w:link w:val="NogaZnak"/>
    <w:uiPriority w:val="99"/>
    <w:unhideWhenUsed/>
    <w:rsid w:val="000E0964"/>
    <w:pPr>
      <w:tabs>
        <w:tab w:val="center" w:pos="4536"/>
        <w:tab w:val="right" w:pos="9072"/>
      </w:tabs>
      <w:spacing w:after="0" w:line="240" w:lineRule="auto"/>
    </w:pPr>
  </w:style>
  <w:style w:type="character" w:customStyle="1" w:styleId="NogaZnak">
    <w:name w:val="Noga Znak"/>
    <w:basedOn w:val="Privzetapisavaodstavka"/>
    <w:link w:val="Noga"/>
    <w:uiPriority w:val="99"/>
    <w:rsid w:val="000E0964"/>
  </w:style>
  <w:style w:type="paragraph" w:styleId="Besedilooblaka">
    <w:name w:val="Balloon Text"/>
    <w:basedOn w:val="Navaden"/>
    <w:link w:val="BesedilooblakaZnak"/>
    <w:uiPriority w:val="99"/>
    <w:semiHidden/>
    <w:unhideWhenUsed/>
    <w:rsid w:val="000E096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0964"/>
    <w:rPr>
      <w:rFonts w:ascii="Tahoma" w:hAnsi="Tahoma" w:cs="Tahoma"/>
      <w:sz w:val="16"/>
      <w:szCs w:val="16"/>
    </w:rPr>
  </w:style>
  <w:style w:type="table" w:styleId="Tabelamrea">
    <w:name w:val="Table Grid"/>
    <w:basedOn w:val="Navadnatabela"/>
    <w:uiPriority w:val="59"/>
    <w:rsid w:val="000E0964"/>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66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deja.Pavlin.LEKARNA-BREZICE\OneDrive%20-%20Lekarna%20Bre&#382;ice\Namizje\OB%20-%2001%20-%2002%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 - 01 - 02 predloga</Template>
  <TotalTime>12</TotalTime>
  <Pages>1</Pages>
  <Words>427</Words>
  <Characters>2437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Tadeja Pavlin</dc:creator>
  <cp:lastModifiedBy>Tadeja Pavlin</cp:lastModifiedBy>
  <cp:revision>6</cp:revision>
  <dcterms:created xsi:type="dcterms:W3CDTF">2026-06-30T12:34:00Z</dcterms:created>
  <dcterms:modified xsi:type="dcterms:W3CDTF">2026-07-01T07:16:00Z</dcterms:modified>
</cp:coreProperties>
</file>